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2a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(Część nr 1)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krzewów do nasadzeń na terenie miasta Łomża”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25.05.2022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8"/>
        <w:gridCol w:w="5242"/>
        <w:gridCol w:w="868"/>
        <w:gridCol w:w="1538"/>
        <w:gridCol w:w="1506"/>
      </w:tblGrid>
      <w:tr>
        <w:trPr/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Physocarpus opulifolius ‘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Little Angel’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ahoma" w:cs="Tahoma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–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Pęcherznica kalinolistna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300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6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6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6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358</TotalTime>
  <Application>LibreOffice/7.0.4.2$Windows_x86 LibreOffice_project/dcf040e67528d9187c66b2379df5ea4407429775</Application>
  <AppVersion>15.0000</AppVersion>
  <Pages>2</Pages>
  <Words>124</Words>
  <Characters>891</Characters>
  <CharactersWithSpaces>1179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2022-05-11T10:19:58Z</cp:lastPrinted>
  <dcterms:modified xsi:type="dcterms:W3CDTF">2022-05-11T10:20:11Z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