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1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"/>
        <w:gridCol w:w="4526"/>
        <w:gridCol w:w="848"/>
        <w:gridCol w:w="730"/>
        <w:gridCol w:w="1539"/>
        <w:gridCol w:w="1503"/>
      </w:tblGrid>
      <w:tr>
        <w:trPr/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Elementy oznakowania stałej organizacji  ruchu dla samochodów ciężarowych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Znak drogowy, wielkości średniej, folia II gen. wraz z kpl. uchwytów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B-5n (10 t)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Znak drogowy, wielkości średniej, folia II gen. wraz z kpl.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uchwytów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B-18 (3,5 t)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Znak drogowy, wielkości średniej, folia II gen. wraz z kpl.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uchwytów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B-18 (10 t)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Znak drogowy, wielkości średniej, folia II gen. wraz z kpl.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uchwytów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B-18 (30 t)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Znak drogowy, wielkości średniej, folia II gen. wraz z kpl.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uchwytów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B-36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„Dotyczy przewozu rzeczy w godz. 24.00 – 5.00”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dojazdu do i z pow. Łomżyńskiego”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Rybaki,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Zawadzkiej,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600x250,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służb komunalnych”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Akademickiej,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Al. Legionów,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600x250,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m. Konarzyce”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dojazdu do stacji paliw m. Konarzyce”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Poznańskiej,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Browarnej,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Wesołej,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Strzelców Kurpiowskich,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Spokojnej,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służb komunalnych, poj.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służb komunalnych i MPK”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Wyszyńskiego,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Kolejowej,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Fabrycznej,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Pileckiego,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Przykoszarowej,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600x250,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 poj.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600x300,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„Nie dotyczy zaop. ul. Piłsudskiego, służb komunalnych,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600x250,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„Nośność mostu”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Tabliczka T-0, 600x250, folia II gen. wraz z kpl. uchwytów o treści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„Ne dotyczy zaop. Al. Legionów, WORD i OSK”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LICO folia II gen. (wklejka na tablicę E-1) DN 41 cm (40 cm symbol znaku 0,5 cm biała obwoluta)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B-5n (10 t)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324</TotalTime>
  <Application>LibreOffice/7.2.2.2$Windows_X86_64 LibreOffice_project/02b2acce88a210515b4a5bb2e46cbfb63fe97d56</Application>
  <AppVersion>15.0000</AppVersion>
  <Pages>3</Pages>
  <Words>826</Words>
  <Characters>4135</Characters>
  <CharactersWithSpaces>4861</CharactersWithSpaces>
  <Paragraphs>156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dcterms:modified xsi:type="dcterms:W3CDTF">2022-03-02T10:17:27Z</dcterms:modified>
  <cp:revision>7</cp:revision>
  <dc:subject/>
  <dc:title/>
</cp:coreProperties>
</file>